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11055" w14:textId="77777777" w:rsidR="0086627A" w:rsidRDefault="004B34FD" w:rsidP="004B34FD">
      <w:pPr>
        <w:pStyle w:val="berschrift1"/>
        <w:tabs>
          <w:tab w:val="left" w:pos="7867"/>
          <w:tab w:val="right" w:pos="14288"/>
        </w:tabs>
      </w:pPr>
      <w:bookmarkStart w:id="0" w:name="_Toc457815056"/>
      <w:bookmarkStart w:id="1" w:name="_Toc457570429"/>
      <w:bookmarkStart w:id="2" w:name="_Toc457569724"/>
      <w:bookmarkStart w:id="3" w:name="_Toc457569510"/>
      <w:bookmarkStart w:id="4" w:name="_Toc457569136"/>
      <w:r>
        <w:tab/>
      </w:r>
      <w:r>
        <w:tab/>
      </w:r>
    </w:p>
    <w:bookmarkEnd w:id="0"/>
    <w:bookmarkEnd w:id="1"/>
    <w:bookmarkEnd w:id="2"/>
    <w:bookmarkEnd w:id="3"/>
    <w:bookmarkEnd w:id="4"/>
    <w:p w14:paraId="512C67C4" w14:textId="77777777" w:rsidR="008F4744" w:rsidRDefault="008F4744" w:rsidP="008F4744">
      <w:pPr>
        <w:pStyle w:val="berschrift1"/>
      </w:pPr>
      <w:r w:rsidRPr="006C6427">
        <w:t xml:space="preserve">Managementblatt </w:t>
      </w:r>
      <w:r w:rsidRPr="00D07E55">
        <w:t>3</w:t>
      </w:r>
      <w:r w:rsidRPr="006C6427">
        <w:t>: Prioritäten setzen</w:t>
      </w:r>
    </w:p>
    <w:p w14:paraId="52A4D9CD" w14:textId="62B5C867" w:rsidR="004E3279" w:rsidRDefault="003543E4" w:rsidP="003543E4">
      <w:pPr>
        <w:rPr>
          <w:b/>
          <w:sz w:val="20"/>
          <w:szCs w:val="20"/>
        </w:rPr>
      </w:pPr>
      <w:r w:rsidRPr="000F496E">
        <w:rPr>
          <w:b/>
          <w:bCs/>
        </w:rPr>
        <w:t xml:space="preserve">Teil </w:t>
      </w:r>
      <w:r w:rsidR="00864508">
        <w:rPr>
          <w:b/>
          <w:bCs/>
        </w:rPr>
        <w:t>1</w:t>
      </w:r>
      <w:r w:rsidR="000F496E" w:rsidRPr="000F496E">
        <w:rPr>
          <w:b/>
          <w:bCs/>
        </w:rPr>
        <w:t>:</w:t>
      </w:r>
      <w:r w:rsidR="000F496E">
        <w:t xml:space="preserve"> </w:t>
      </w:r>
      <w:r w:rsidR="000F496E">
        <w:rPr>
          <w:b/>
          <w:sz w:val="20"/>
          <w:szCs w:val="20"/>
        </w:rPr>
        <w:t>Auswirkungs-Screening</w:t>
      </w:r>
    </w:p>
    <w:p w14:paraId="7449EB0B" w14:textId="59B3F0F8" w:rsidR="004E3279" w:rsidRPr="004E3279" w:rsidRDefault="004E3279" w:rsidP="00DB5ECD">
      <w:pPr>
        <w:tabs>
          <w:tab w:val="num" w:pos="0"/>
        </w:tabs>
        <w:spacing w:line="276" w:lineRule="auto"/>
        <w:rPr>
          <w:bCs/>
          <w:i/>
          <w:iCs/>
        </w:rPr>
      </w:pPr>
      <w:r w:rsidRPr="004E3279">
        <w:rPr>
          <w:i/>
          <w:iCs/>
        </w:rPr>
        <w:t xml:space="preserve">Die Inside-out-Perspektive betrachtet Auswirkungen der Geschäftstätigkeit, Geschäftsbeziehungen, der Produkte oder der Dienstleistungen auf Umwelt, Soziales und Unternehmensführung (= Wesentlichkeit der Auswirkungen). </w:t>
      </w:r>
    </w:p>
    <w:p w14:paraId="4A70170B" w14:textId="10AB5976" w:rsidR="006736D9" w:rsidRDefault="00C60DDD" w:rsidP="004E3279">
      <w:pPr>
        <w:spacing w:line="276" w:lineRule="auto"/>
        <w:rPr>
          <w:bCs/>
        </w:rPr>
      </w:pPr>
      <w:r>
        <w:rPr>
          <w:bCs/>
        </w:rPr>
        <w:t>Die Themen leiten sich bei berichtspflichtigen Unternehmen aus den</w:t>
      </w:r>
      <w:r w:rsidR="001E5525">
        <w:rPr>
          <w:bCs/>
        </w:rPr>
        <w:t xml:space="preserve"> </w:t>
      </w:r>
      <w:r w:rsidR="00CB4E0D">
        <w:rPr>
          <w:bCs/>
        </w:rPr>
        <w:t xml:space="preserve">Themen und </w:t>
      </w:r>
      <w:r w:rsidR="001E5525">
        <w:rPr>
          <w:bCs/>
        </w:rPr>
        <w:t>sogenannten Unterthemen der</w:t>
      </w:r>
      <w:r>
        <w:rPr>
          <w:bCs/>
        </w:rPr>
        <w:t xml:space="preserve"> </w:t>
      </w:r>
      <w:hyperlink r:id="rId12" w:history="1">
        <w:r w:rsidR="001B2D04" w:rsidRPr="001B2D04">
          <w:rPr>
            <w:rStyle w:val="Hyperlink"/>
            <w:bCs/>
          </w:rPr>
          <w:t>europäischen Standards für die Nachhaltigkeitsberichterstattung </w:t>
        </w:r>
        <w:r w:rsidR="001B2D04" w:rsidRPr="001B2D04">
          <w:rPr>
            <w:rStyle w:val="Hyperlink"/>
            <w:bCs/>
            <w:i/>
            <w:iCs/>
          </w:rPr>
          <w:t>(European Sustainability Reporting Standards – ESRS)</w:t>
        </w:r>
      </w:hyperlink>
      <w:r>
        <w:rPr>
          <w:bCs/>
        </w:rPr>
        <w:t xml:space="preserve"> ab. Nicht-berichtspflichtige Unternehmen können sich ebenfalls an diesen orientieren, um alle drei Handlungsfelder Umwelt, Soziales und Unternehmensführung zu berücksichtigen.</w:t>
      </w:r>
      <w:r w:rsidR="00DB5ECD">
        <w:rPr>
          <w:bCs/>
        </w:rPr>
        <w:t xml:space="preserve"> </w:t>
      </w:r>
      <w:r w:rsidR="00CF0FE3">
        <w:rPr>
          <w:bCs/>
        </w:rPr>
        <w:t xml:space="preserve">In den freien Feldern werden nun die jeweiligen </w:t>
      </w:r>
      <w:r w:rsidR="00CF0FE3" w:rsidRPr="00DB6B3F">
        <w:rPr>
          <w:b/>
        </w:rPr>
        <w:t>positiven und negativen Auswirkungen</w:t>
      </w:r>
      <w:r w:rsidR="00CF0FE3">
        <w:rPr>
          <w:bCs/>
        </w:rPr>
        <w:t xml:space="preserve"> des Unternehmens auf die einzelnen Themen entlang der Wertschöpfungsstufen erfasst. </w:t>
      </w:r>
      <w:r w:rsidR="008715AB">
        <w:rPr>
          <w:bCs/>
        </w:rPr>
        <w:t>Diese können potenziell und tatsächlich sein</w:t>
      </w:r>
      <w:r w:rsidR="00CB4E0D">
        <w:rPr>
          <w:bCs/>
        </w:rPr>
        <w:t xml:space="preserve">. </w:t>
      </w:r>
    </w:p>
    <w:tbl>
      <w:tblPr>
        <w:tblStyle w:val="Tabellenraster"/>
        <w:tblW w:w="14964" w:type="dxa"/>
        <w:tblLayout w:type="fixed"/>
        <w:tblLook w:val="0400" w:firstRow="0" w:lastRow="0" w:firstColumn="0" w:lastColumn="0" w:noHBand="0" w:noVBand="1"/>
        <w:tblCaption w:val="layout"/>
      </w:tblPr>
      <w:tblGrid>
        <w:gridCol w:w="983"/>
        <w:gridCol w:w="2527"/>
        <w:gridCol w:w="2155"/>
        <w:gridCol w:w="2552"/>
        <w:gridCol w:w="2171"/>
        <w:gridCol w:w="2081"/>
        <w:gridCol w:w="2495"/>
      </w:tblGrid>
      <w:tr w:rsidR="002F1063" w:rsidRPr="00431C78" w14:paraId="76B040F8" w14:textId="5BE3C2BA" w:rsidTr="00310F49">
        <w:trPr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BC4E" w14:textId="77777777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DA5F" w14:textId="77777777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Wertschöpfungsstufe 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1D6" w14:textId="77777777" w:rsidR="002F1063" w:rsidRDefault="002F1063" w:rsidP="008C505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Bewertung</w:t>
            </w:r>
          </w:p>
          <w:p w14:paraId="3D58DAED" w14:textId="77777777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C6" w14:textId="51878582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Wertschöpfungsstufe 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1915" w14:textId="1EE9AC3C" w:rsidR="002F1063" w:rsidRDefault="002F1063" w:rsidP="008C505F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Bewertung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1AB" w14:textId="20F2B97F" w:rsidR="002F1063" w:rsidRDefault="002F1063" w:rsidP="0020140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Durchschnittswert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4D7C" w14:textId="0C573570" w:rsidR="002F1063" w:rsidRDefault="002F1063" w:rsidP="0020140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Relevanz nach Definition eines Schwellenwertes</w:t>
            </w:r>
          </w:p>
        </w:tc>
      </w:tr>
      <w:tr w:rsidR="002F1063" w:rsidRPr="00431C78" w14:paraId="4467FB0B" w14:textId="77777777" w:rsidTr="00310F49">
        <w:trPr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DEB" w14:textId="4AAAB895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1B07" w14:textId="77777777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C2A5" w14:textId="77777777" w:rsidR="002F1063" w:rsidRDefault="002F1063" w:rsidP="008C505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777" w14:textId="77777777" w:rsidR="002F1063" w:rsidRDefault="002F1063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CA67" w14:textId="77777777" w:rsidR="002F1063" w:rsidRDefault="002F1063" w:rsidP="008C505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2A5D" w14:textId="77777777" w:rsidR="002F1063" w:rsidRDefault="002F1063" w:rsidP="0020140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BA17" w14:textId="2F41DF3E" w:rsidR="002F1063" w:rsidRDefault="002F1063" w:rsidP="0020140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1063" w:rsidRPr="00CF0FE3" w14:paraId="2C0FAAB6" w14:textId="125367D0" w:rsidTr="00310F49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95550" w14:textId="4C8F70FE" w:rsidR="002F1063" w:rsidRPr="000F496E" w:rsidRDefault="002F1063" w:rsidP="002F106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Thema 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B90" w14:textId="7CD71DD1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Positive Auswirkung(en)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5D8B" w14:textId="7C85276E" w:rsidR="002F1063" w:rsidRPr="0020140D" w:rsidRDefault="002F1063" w:rsidP="002F1063">
            <w:pPr>
              <w:spacing w:before="120" w:line="276" w:lineRule="auto"/>
              <w:rPr>
                <w:bCs/>
                <w:sz w:val="20"/>
                <w:szCs w:val="20"/>
              </w:rPr>
            </w:pPr>
            <w:r w:rsidRPr="0020140D">
              <w:rPr>
                <w:bCs/>
                <w:sz w:val="20"/>
                <w:szCs w:val="20"/>
              </w:rPr>
              <w:t>(Wahrscheinlichkeit x Wirkung)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D07" w14:textId="180F54F6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Positive Auswirkung(en)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605A" w14:textId="54D61B1F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 w:rsidRPr="0020140D">
              <w:rPr>
                <w:bCs/>
                <w:sz w:val="20"/>
                <w:szCs w:val="20"/>
              </w:rPr>
              <w:t>(Wahrscheinlichkeit x Wirkung)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985" w14:textId="77777777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26145" w14:textId="781658BD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(Ja / Nein)</w:t>
            </w:r>
          </w:p>
        </w:tc>
      </w:tr>
      <w:tr w:rsidR="002F1063" w:rsidRPr="00CF0FE3" w14:paraId="58870232" w14:textId="501A4B37" w:rsidTr="00310F49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1BB" w14:textId="757A759F" w:rsidR="002F1063" w:rsidRPr="00F9712A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610" w14:textId="20CCEFBA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Negative Auswirkung(en)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78A7" w14:textId="7A2553D1" w:rsidR="002F1063" w:rsidRPr="0020140D" w:rsidRDefault="002F1063" w:rsidP="002F1063">
            <w:pPr>
              <w:spacing w:before="120" w:line="276" w:lineRule="auto"/>
              <w:rPr>
                <w:bCs/>
                <w:sz w:val="20"/>
                <w:szCs w:val="20"/>
              </w:rPr>
            </w:pPr>
            <w:r w:rsidRPr="0020140D">
              <w:rPr>
                <w:bCs/>
                <w:sz w:val="20"/>
                <w:szCs w:val="20"/>
              </w:rPr>
              <w:t>(Wahrscheinlichkeit x Schwere)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9A4" w14:textId="44331A9E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Negative Auswirkung(en)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CBA" w14:textId="3F3D57E7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  <w:r w:rsidRPr="0020140D">
              <w:rPr>
                <w:bCs/>
                <w:sz w:val="20"/>
                <w:szCs w:val="20"/>
              </w:rPr>
              <w:t>(Wahrscheinlichkeit x Schwere)</w:t>
            </w:r>
          </w:p>
        </w:tc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362" w14:textId="77777777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4AD5" w14:textId="78183086" w:rsidR="002F1063" w:rsidRPr="00CF0FE3" w:rsidRDefault="002F1063" w:rsidP="002F1063">
            <w:pPr>
              <w:spacing w:before="120"/>
              <w:rPr>
                <w:bCs/>
                <w:sz w:val="20"/>
                <w:szCs w:val="20"/>
              </w:rPr>
            </w:pPr>
          </w:p>
        </w:tc>
      </w:tr>
    </w:tbl>
    <w:p w14:paraId="0D6EC350" w14:textId="77777777" w:rsidR="00DB5ECD" w:rsidRDefault="00DB5ECD" w:rsidP="008C505F">
      <w:pPr>
        <w:spacing w:line="276" w:lineRule="auto"/>
        <w:rPr>
          <w:bCs/>
        </w:rPr>
      </w:pPr>
    </w:p>
    <w:p w14:paraId="5680DA74" w14:textId="359536C1" w:rsidR="006736D9" w:rsidRPr="00C60DDD" w:rsidRDefault="006736D9" w:rsidP="008C505F">
      <w:pPr>
        <w:spacing w:line="276" w:lineRule="auto"/>
        <w:rPr>
          <w:bCs/>
        </w:rPr>
      </w:pPr>
      <w:r>
        <w:rPr>
          <w:bCs/>
        </w:rPr>
        <w:t xml:space="preserve">Zur Bewertung der positiven Auswirkungen werden die Dimensionen Wahrscheinlichkeit und Wirkung (Ausmaß und Umfang), bei negativen </w:t>
      </w:r>
      <w:r w:rsidRPr="00C60DDD">
        <w:rPr>
          <w:bCs/>
        </w:rPr>
        <w:t>Auswirkung die Dimensionen Wahrscheinlichkeit und Schwere (Ausmaß, Umfang und Unabänderlichkeit).</w:t>
      </w:r>
      <w:r w:rsidR="00E21232">
        <w:rPr>
          <w:bCs/>
        </w:rPr>
        <w:t xml:space="preserve"> </w:t>
      </w:r>
    </w:p>
    <w:p w14:paraId="0128EE2B" w14:textId="044A806C" w:rsidR="00C60DDD" w:rsidRDefault="00C60DDD" w:rsidP="00443590">
      <w:pPr>
        <w:pStyle w:val="Listenabsatz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DB6B3F">
        <w:rPr>
          <w:rFonts w:ascii="Arial" w:hAnsi="Arial" w:cs="Arial"/>
          <w:bCs/>
          <w:sz w:val="22"/>
          <w:szCs w:val="22"/>
          <w:u w:val="single"/>
        </w:rPr>
        <w:t>Wahrscheinlichkeit</w:t>
      </w:r>
      <w:r w:rsidRPr="00C60DDD">
        <w:rPr>
          <w:rFonts w:ascii="Arial" w:hAnsi="Arial" w:cs="Arial"/>
          <w:bCs/>
          <w:sz w:val="22"/>
          <w:szCs w:val="22"/>
        </w:rPr>
        <w:t xml:space="preserve"> von 1=niedrige Eintrittswahrscheinlichkeit / punktuell eintreffend bis 5=tatsächliche Eintrittswahrscheinlichkeit, die immer und überall eintritt </w:t>
      </w:r>
    </w:p>
    <w:p w14:paraId="797055DE" w14:textId="77777777" w:rsidR="00C60DDD" w:rsidRPr="00C60DDD" w:rsidRDefault="00C60DDD" w:rsidP="00C60DDD">
      <w:pPr>
        <w:pStyle w:val="Listenabsatz"/>
        <w:rPr>
          <w:rFonts w:ascii="Arial" w:hAnsi="Arial" w:cs="Arial"/>
          <w:bCs/>
          <w:sz w:val="22"/>
          <w:szCs w:val="22"/>
        </w:rPr>
      </w:pPr>
    </w:p>
    <w:p w14:paraId="56712208" w14:textId="3835C08F" w:rsidR="00C60DDD" w:rsidRDefault="00C60DDD" w:rsidP="00443590">
      <w:pPr>
        <w:pStyle w:val="Listenabsatz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DB6B3F">
        <w:rPr>
          <w:rFonts w:ascii="Arial" w:hAnsi="Arial" w:cs="Arial"/>
          <w:bCs/>
          <w:sz w:val="22"/>
          <w:szCs w:val="22"/>
          <w:u w:val="single"/>
        </w:rPr>
        <w:t>Ausmaß</w:t>
      </w:r>
      <w:r w:rsidRPr="00C60DDD">
        <w:rPr>
          <w:rFonts w:ascii="Arial" w:hAnsi="Arial" w:cs="Arial"/>
          <w:bCs/>
          <w:sz w:val="22"/>
          <w:szCs w:val="22"/>
        </w:rPr>
        <w:t xml:space="preserve"> von 1=sehr gering bis 5=sehr hoch</w:t>
      </w:r>
    </w:p>
    <w:p w14:paraId="0DF90F2A" w14:textId="77777777" w:rsidR="00C60DDD" w:rsidRPr="00C60DDD" w:rsidRDefault="00C60DDD" w:rsidP="00C60DDD">
      <w:pPr>
        <w:pStyle w:val="Listenabsatz"/>
        <w:rPr>
          <w:rFonts w:ascii="Arial" w:hAnsi="Arial" w:cs="Arial"/>
          <w:bCs/>
          <w:sz w:val="22"/>
          <w:szCs w:val="22"/>
        </w:rPr>
      </w:pPr>
    </w:p>
    <w:p w14:paraId="0FCEB544" w14:textId="1C70DCF7" w:rsidR="00C60DDD" w:rsidRDefault="00C60DDD" w:rsidP="00443590">
      <w:pPr>
        <w:pStyle w:val="Listenabsatz"/>
        <w:numPr>
          <w:ilvl w:val="0"/>
          <w:numId w:val="10"/>
        </w:numPr>
        <w:rPr>
          <w:rFonts w:ascii="Arial" w:hAnsi="Arial" w:cs="Arial"/>
          <w:bCs/>
          <w:sz w:val="22"/>
          <w:szCs w:val="22"/>
        </w:rPr>
      </w:pPr>
      <w:r w:rsidRPr="00DB6B3F">
        <w:rPr>
          <w:rFonts w:ascii="Arial" w:hAnsi="Arial" w:cs="Arial"/>
          <w:bCs/>
          <w:sz w:val="22"/>
          <w:szCs w:val="22"/>
          <w:u w:val="single"/>
        </w:rPr>
        <w:t>Umfang</w:t>
      </w:r>
      <w:r>
        <w:rPr>
          <w:rFonts w:ascii="Arial" w:hAnsi="Arial" w:cs="Arial"/>
          <w:bCs/>
          <w:sz w:val="22"/>
          <w:szCs w:val="22"/>
        </w:rPr>
        <w:t xml:space="preserve"> von 1=sehr punktuell / einzelne Personen betreffend bis 5=global / viele Menschen</w:t>
      </w:r>
    </w:p>
    <w:p w14:paraId="6897B75E" w14:textId="77777777" w:rsidR="00B754F0" w:rsidRPr="00B754F0" w:rsidRDefault="00B754F0" w:rsidP="00B754F0">
      <w:pPr>
        <w:pStyle w:val="Listenabsatz"/>
        <w:rPr>
          <w:rFonts w:ascii="Arial" w:hAnsi="Arial" w:cs="Arial"/>
          <w:bCs/>
          <w:sz w:val="22"/>
          <w:szCs w:val="22"/>
        </w:rPr>
      </w:pPr>
    </w:p>
    <w:p w14:paraId="56342351" w14:textId="77777777" w:rsidR="00A27C5C" w:rsidRPr="00A27C5C" w:rsidRDefault="00B754F0" w:rsidP="00443590">
      <w:pPr>
        <w:pStyle w:val="Listenabsatz"/>
        <w:numPr>
          <w:ilvl w:val="0"/>
          <w:numId w:val="10"/>
        </w:numPr>
        <w:rPr>
          <w:bCs/>
        </w:rPr>
      </w:pPr>
      <w:r w:rsidRPr="00DB6B3F">
        <w:rPr>
          <w:rFonts w:ascii="Arial" w:hAnsi="Arial" w:cs="Arial"/>
          <w:bCs/>
          <w:sz w:val="22"/>
          <w:szCs w:val="22"/>
          <w:u w:val="single"/>
        </w:rPr>
        <w:t>Unabänderlichkeit</w:t>
      </w:r>
      <w:r w:rsidRPr="008C505F">
        <w:rPr>
          <w:rFonts w:ascii="Arial" w:hAnsi="Arial" w:cs="Arial"/>
          <w:bCs/>
          <w:sz w:val="22"/>
          <w:szCs w:val="22"/>
        </w:rPr>
        <w:t xml:space="preserve"> von 1=leicht/kurzfristig bis 5=absolut irreversibel</w:t>
      </w:r>
    </w:p>
    <w:p w14:paraId="293BC0DB" w14:textId="77777777" w:rsidR="00A27C5C" w:rsidRDefault="00A27C5C" w:rsidP="00A27C5C">
      <w:pPr>
        <w:pStyle w:val="Listenabsatz"/>
        <w:rPr>
          <w:bCs/>
        </w:rPr>
      </w:pPr>
    </w:p>
    <w:p w14:paraId="4A8CAA04" w14:textId="3862539E" w:rsidR="00191022" w:rsidRPr="00E21232" w:rsidRDefault="00472ECB" w:rsidP="00E21232">
      <w:pPr>
        <w:rPr>
          <w:bCs/>
        </w:rPr>
      </w:pPr>
      <w:r>
        <w:rPr>
          <w:bCs/>
        </w:rPr>
        <w:t>Im Anschluss wird für jedes Thema bzw. Unterthema der Durchschnittswert gebildet.</w:t>
      </w:r>
    </w:p>
    <w:p w14:paraId="7BEA90C9" w14:textId="7EA97A3F" w:rsidR="00A27C5C" w:rsidRPr="00D435DA" w:rsidRDefault="00A27C5C" w:rsidP="00A27C5C">
      <w:pPr>
        <w:rPr>
          <w:bCs/>
          <w:color w:val="7F7F7F" w:themeColor="text1" w:themeTint="80"/>
        </w:rPr>
      </w:pPr>
      <w:r w:rsidRPr="00D435DA">
        <w:rPr>
          <w:bCs/>
          <w:color w:val="7F7F7F" w:themeColor="text1" w:themeTint="80"/>
        </w:rPr>
        <w:t xml:space="preserve">Beispiel: </w:t>
      </w:r>
    </w:p>
    <w:tbl>
      <w:tblPr>
        <w:tblStyle w:val="Tabellenraster"/>
        <w:tblW w:w="14535" w:type="dxa"/>
        <w:tblLayout w:type="fixed"/>
        <w:tblLook w:val="0400" w:firstRow="0" w:lastRow="0" w:firstColumn="0" w:lastColumn="0" w:noHBand="0" w:noVBand="1"/>
        <w:tblCaption w:val="layout"/>
      </w:tblPr>
      <w:tblGrid>
        <w:gridCol w:w="983"/>
        <w:gridCol w:w="3548"/>
        <w:gridCol w:w="1429"/>
        <w:gridCol w:w="3107"/>
        <w:gridCol w:w="1560"/>
        <w:gridCol w:w="1620"/>
        <w:gridCol w:w="2288"/>
      </w:tblGrid>
      <w:tr w:rsidR="00075E21" w:rsidRPr="00D435DA" w14:paraId="4E287F0B" w14:textId="77777777" w:rsidTr="007D686B">
        <w:trPr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B618" w14:textId="77777777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8F0F" w14:textId="6E0BAC4D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>Urproduktion / Rohstoffgewinnung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1234" w14:textId="77777777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D435DA">
              <w:rPr>
                <w:b/>
                <w:color w:val="7F7F7F" w:themeColor="text1" w:themeTint="80"/>
                <w:sz w:val="20"/>
                <w:szCs w:val="20"/>
              </w:rPr>
              <w:t>Bewertung</w:t>
            </w:r>
          </w:p>
          <w:p w14:paraId="2B5D5A57" w14:textId="77777777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E8EF" w14:textId="609D5274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>Produktion / Weiterverarbeitung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FD28" w14:textId="77777777" w:rsidR="00075E21" w:rsidRPr="00D435DA" w:rsidRDefault="00075E21" w:rsidP="00191022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D435DA">
              <w:rPr>
                <w:b/>
                <w:color w:val="7F7F7F" w:themeColor="text1" w:themeTint="80"/>
                <w:sz w:val="20"/>
                <w:szCs w:val="20"/>
              </w:rPr>
              <w:t>Bewertung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911" w14:textId="0F8E2651" w:rsidR="00075E21" w:rsidRPr="00D435DA" w:rsidRDefault="00075E21" w:rsidP="00191022">
            <w:pPr>
              <w:spacing w:before="120" w:line="276" w:lineRule="auto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>Durchschnitts</w:t>
            </w:r>
            <w:r w:rsidR="007D686B">
              <w:rPr>
                <w:b/>
                <w:color w:val="7F7F7F" w:themeColor="text1" w:themeTint="80"/>
                <w:sz w:val="20"/>
                <w:szCs w:val="20"/>
              </w:rPr>
              <w:t>-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wert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A353" w14:textId="0799C046" w:rsidR="00075E21" w:rsidRPr="00D435DA" w:rsidRDefault="00075E21" w:rsidP="00191022">
            <w:pPr>
              <w:spacing w:before="120" w:line="276" w:lineRule="auto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D435DA">
              <w:rPr>
                <w:b/>
                <w:color w:val="7F7F7F" w:themeColor="text1" w:themeTint="80"/>
                <w:sz w:val="20"/>
                <w:szCs w:val="20"/>
              </w:rPr>
              <w:t>Relevanz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, da über </w:t>
            </w:r>
            <w:r w:rsidRPr="00D435DA">
              <w:rPr>
                <w:b/>
                <w:color w:val="7F7F7F" w:themeColor="text1" w:themeTint="80"/>
                <w:sz w:val="20"/>
                <w:szCs w:val="20"/>
              </w:rPr>
              <w:t>Schwellenwert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 von 8</w:t>
            </w:r>
          </w:p>
        </w:tc>
      </w:tr>
      <w:tr w:rsidR="00075E21" w:rsidRPr="00D435DA" w14:paraId="44618D98" w14:textId="77777777" w:rsidTr="007D686B">
        <w:trPr>
          <w:trHeight w:val="497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550" w14:textId="77777777" w:rsidR="00075E21" w:rsidRPr="00D435DA" w:rsidRDefault="00075E21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D435DA">
              <w:rPr>
                <w:b/>
                <w:color w:val="7F7F7F" w:themeColor="text1" w:themeTint="80"/>
                <w:sz w:val="20"/>
                <w:szCs w:val="20"/>
              </w:rPr>
              <w:t>Themen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9926" w14:textId="77777777" w:rsidR="00075E21" w:rsidRPr="00D435DA" w:rsidRDefault="00075E21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0B4A" w14:textId="77777777" w:rsidR="00075E21" w:rsidRPr="00D435DA" w:rsidRDefault="00075E21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4E2" w14:textId="77777777" w:rsidR="00075E21" w:rsidRPr="00D435DA" w:rsidRDefault="00075E21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798B" w14:textId="77777777" w:rsidR="00075E21" w:rsidRPr="00D435DA" w:rsidRDefault="00075E21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2B11" w14:textId="77777777" w:rsidR="00075E21" w:rsidRPr="00D435DA" w:rsidRDefault="00075E21" w:rsidP="002957C5">
            <w:pPr>
              <w:spacing w:before="120" w:line="276" w:lineRule="auto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25C" w14:textId="3DED9133" w:rsidR="00075E21" w:rsidRPr="00D435DA" w:rsidRDefault="00075E21" w:rsidP="002957C5">
            <w:pPr>
              <w:spacing w:before="120" w:line="276" w:lineRule="auto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</w:tr>
      <w:tr w:rsidR="00075E21" w:rsidRPr="00D435DA" w14:paraId="61D80664" w14:textId="77777777" w:rsidTr="007D686B"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1E8D1" w14:textId="50C30952" w:rsidR="00075E21" w:rsidRPr="00D435DA" w:rsidRDefault="00075E21" w:rsidP="002957C5">
            <w:pPr>
              <w:spacing w:before="120"/>
              <w:rPr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b/>
                <w:color w:val="7F7F7F" w:themeColor="text1" w:themeTint="80"/>
                <w:sz w:val="20"/>
                <w:szCs w:val="20"/>
              </w:rPr>
              <w:t>Klima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89A5" w14:textId="3C33D041" w:rsidR="00075E21" w:rsidRPr="00D435DA" w:rsidRDefault="00FA0AF6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FA0AF6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Positiv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>: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 xml:space="preserve"> Überlegung: Pilotprojekt zum nachhaltigeren Rohstoffabbau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231" w14:textId="3BB167B2" w:rsidR="00075E21" w:rsidRPr="00D435DA" w:rsidRDefault="00075E21" w:rsidP="002957C5">
            <w:pPr>
              <w:spacing w:before="120" w:line="276" w:lineRule="auto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10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386" w14:textId="6D3CBB93" w:rsidR="00075E21" w:rsidRPr="00D435DA" w:rsidRDefault="00FA0AF6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FA0AF6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Positiv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: 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>100 Prozent erneuerbare Energieträger für die Produktion im Stammwerk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A5A9" w14:textId="6F37FE2F" w:rsidR="00075E21" w:rsidRPr="00D435DA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5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B581D" w14:textId="1ECF7427" w:rsidR="00075E21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12,5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3982" w14:textId="7893659B" w:rsidR="00075E21" w:rsidRPr="00075E21" w:rsidRDefault="00075E21" w:rsidP="00075E21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Ja</w:t>
            </w:r>
          </w:p>
        </w:tc>
      </w:tr>
      <w:tr w:rsidR="00075E21" w:rsidRPr="00D435DA" w14:paraId="2B211581" w14:textId="77777777" w:rsidTr="007D686B"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262F" w14:textId="77777777" w:rsidR="00075E21" w:rsidRPr="00D435DA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BC94" w14:textId="773E2A4B" w:rsidR="00075E21" w:rsidRPr="00D435DA" w:rsidRDefault="00FA0AF6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FA0AF6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Negativ: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>K</w:t>
            </w:r>
            <w:r w:rsidR="00075E21" w:rsidRPr="00D435DA">
              <w:rPr>
                <w:bCs/>
                <w:color w:val="7F7F7F" w:themeColor="text1" w:themeTint="80"/>
                <w:sz w:val="20"/>
                <w:szCs w:val="20"/>
              </w:rPr>
              <w:t>eine Transparenz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 xml:space="preserve"> oder Einflussmöglichkeiten bezüglich der entstehenden </w:t>
            </w:r>
            <w:r w:rsidR="00075E21" w:rsidRPr="00D435DA">
              <w:rPr>
                <w:bCs/>
                <w:color w:val="7F7F7F" w:themeColor="text1" w:themeTint="80"/>
                <w:sz w:val="20"/>
                <w:szCs w:val="20"/>
              </w:rPr>
              <w:t xml:space="preserve">Emissionen 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 xml:space="preserve">in der Vorkette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5BFE" w14:textId="0AB1B05C" w:rsidR="00075E21" w:rsidRPr="00D435DA" w:rsidRDefault="00075E21" w:rsidP="002957C5">
            <w:pPr>
              <w:spacing w:before="120" w:line="276" w:lineRule="auto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20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47A" w14:textId="2843A977" w:rsidR="00075E21" w:rsidRPr="004F4ED5" w:rsidRDefault="00FA0AF6" w:rsidP="004F4ED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FA0AF6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Negativ: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75E21">
              <w:rPr>
                <w:bCs/>
                <w:color w:val="7F7F7F" w:themeColor="text1" w:themeTint="80"/>
                <w:sz w:val="20"/>
                <w:szCs w:val="20"/>
              </w:rPr>
              <w:t>Reduktionspotenzial für Emissionen über Prozessoptimierungen und Effizienz sind ausgeschöpft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C13" w14:textId="07BB0F04" w:rsidR="00075E21" w:rsidRPr="00D435DA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15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2AF8" w14:textId="6D9FEC69" w:rsidR="00075E21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FA59" w14:textId="4B30F282" w:rsidR="00075E21" w:rsidRPr="00D435DA" w:rsidRDefault="00075E21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37DA5C8B" w14:textId="77777777" w:rsidR="002F1063" w:rsidRDefault="002F1063" w:rsidP="00786CA3">
      <w:pPr>
        <w:rPr>
          <w:b/>
          <w:bCs/>
        </w:rPr>
      </w:pPr>
    </w:p>
    <w:p w14:paraId="14E88D68" w14:textId="66892EEE" w:rsidR="00786CA3" w:rsidRDefault="00786CA3" w:rsidP="00786CA3">
      <w:pPr>
        <w:rPr>
          <w:b/>
          <w:sz w:val="20"/>
          <w:szCs w:val="20"/>
        </w:rPr>
      </w:pPr>
      <w:r w:rsidRPr="000F496E">
        <w:rPr>
          <w:b/>
          <w:bCs/>
        </w:rPr>
        <w:t xml:space="preserve">Teil </w:t>
      </w:r>
      <w:r w:rsidR="00864508">
        <w:rPr>
          <w:b/>
          <w:bCs/>
        </w:rPr>
        <w:t>2</w:t>
      </w:r>
      <w:r w:rsidRPr="000F496E">
        <w:rPr>
          <w:b/>
          <w:bCs/>
        </w:rPr>
        <w:t>:</w:t>
      </w:r>
      <w:r>
        <w:t xml:space="preserve"> </w:t>
      </w:r>
      <w:r>
        <w:rPr>
          <w:b/>
          <w:sz w:val="20"/>
          <w:szCs w:val="20"/>
        </w:rPr>
        <w:t>Risik</w:t>
      </w:r>
      <w:r w:rsidR="00BE2FFF">
        <w:rPr>
          <w:b/>
          <w:sz w:val="20"/>
          <w:szCs w:val="20"/>
        </w:rPr>
        <w:t>o</w:t>
      </w:r>
      <w:r w:rsidR="00F60DD5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/</w:t>
      </w:r>
      <w:r w:rsidR="00BE2FFF">
        <w:rPr>
          <w:b/>
          <w:sz w:val="20"/>
          <w:szCs w:val="20"/>
        </w:rPr>
        <w:t>C</w:t>
      </w:r>
      <w:r>
        <w:rPr>
          <w:b/>
          <w:sz w:val="20"/>
          <w:szCs w:val="20"/>
        </w:rPr>
        <w:t>hancen-Screening</w:t>
      </w:r>
    </w:p>
    <w:p w14:paraId="7F762FBE" w14:textId="338B5767" w:rsidR="004E3279" w:rsidRDefault="004E3279" w:rsidP="004E3279">
      <w:pPr>
        <w:tabs>
          <w:tab w:val="num" w:pos="0"/>
        </w:tabs>
        <w:spacing w:line="276" w:lineRule="auto"/>
        <w:rPr>
          <w:i/>
          <w:iCs/>
        </w:rPr>
      </w:pPr>
      <w:r w:rsidRPr="004E3279">
        <w:rPr>
          <w:i/>
          <w:iCs/>
        </w:rPr>
        <w:t xml:space="preserve">Die Outside-in-Perspektive betrachtet Chancen oder Risiken für den Geschäftsverlauf, das Ergebnis oder die Finanzlage des Unternehmens (= finanzielle Wesentlichkeit). </w:t>
      </w:r>
    </w:p>
    <w:p w14:paraId="3379881C" w14:textId="27B1AD7B" w:rsidR="00E53211" w:rsidRDefault="00E53211" w:rsidP="00E53211">
      <w:pPr>
        <w:spacing w:line="276" w:lineRule="auto"/>
        <w:rPr>
          <w:bCs/>
        </w:rPr>
      </w:pPr>
      <w:r>
        <w:rPr>
          <w:bCs/>
        </w:rPr>
        <w:t xml:space="preserve">Die Themen leiten sich bei berichtspflichtigen Unternehmen aus den Themen und sogenannten Unterthemen der </w:t>
      </w:r>
      <w:hyperlink r:id="rId13" w:history="1">
        <w:r w:rsidRPr="001B2D04">
          <w:rPr>
            <w:rStyle w:val="Hyperlink"/>
            <w:bCs/>
          </w:rPr>
          <w:t>europäischen Standards für die Nachhaltigkeitsberichterstattung </w:t>
        </w:r>
        <w:r w:rsidRPr="001B2D04">
          <w:rPr>
            <w:rStyle w:val="Hyperlink"/>
            <w:bCs/>
            <w:i/>
            <w:iCs/>
          </w:rPr>
          <w:t>(European Sustainability Reporting Standards – ESRS)</w:t>
        </w:r>
      </w:hyperlink>
      <w:r>
        <w:rPr>
          <w:bCs/>
        </w:rPr>
        <w:t xml:space="preserve"> ab. Nicht-berichtspflichtige Unternehmen können sich ebenfalls an diesen orientieren, um alle drei Handlungsfelder Umwelt, Soziales und Unternehmensführung zu berücksichtigen. </w:t>
      </w:r>
      <w:r w:rsidR="00C762CD">
        <w:rPr>
          <w:bCs/>
        </w:rPr>
        <w:t xml:space="preserve">Berücksichtigt werden sowohl interne </w:t>
      </w:r>
      <w:r w:rsidR="00C762CD" w:rsidRPr="00DB6B3F">
        <w:rPr>
          <w:b/>
        </w:rPr>
        <w:t>Chancen und Risiken</w:t>
      </w:r>
      <w:r w:rsidR="00C762CD">
        <w:rPr>
          <w:bCs/>
        </w:rPr>
        <w:t xml:space="preserve"> im eigenen </w:t>
      </w:r>
      <w:r w:rsidR="00CA6BA7">
        <w:rPr>
          <w:bCs/>
        </w:rPr>
        <w:t>Unternehmen</w:t>
      </w:r>
      <w:r w:rsidR="00C762CD">
        <w:rPr>
          <w:bCs/>
        </w:rPr>
        <w:t xml:space="preserve"> als auch externe Chancen und Risiken entlang der Wertschöpfungskette.</w:t>
      </w:r>
      <w:r w:rsidR="00472ECB">
        <w:rPr>
          <w:bCs/>
        </w:rPr>
        <w:t xml:space="preserve"> </w:t>
      </w:r>
    </w:p>
    <w:p w14:paraId="6EEDE210" w14:textId="77777777" w:rsidR="00310F49" w:rsidRDefault="00310F49" w:rsidP="00E53211">
      <w:pPr>
        <w:spacing w:line="276" w:lineRule="auto"/>
        <w:rPr>
          <w:bCs/>
        </w:rPr>
      </w:pPr>
    </w:p>
    <w:tbl>
      <w:tblPr>
        <w:tblStyle w:val="Tabellenraster"/>
        <w:tblW w:w="14170" w:type="dxa"/>
        <w:tblLook w:val="0400" w:firstRow="0" w:lastRow="0" w:firstColumn="0" w:lastColumn="0" w:noHBand="0" w:noVBand="1"/>
        <w:tblCaption w:val="layout"/>
      </w:tblPr>
      <w:tblGrid>
        <w:gridCol w:w="1285"/>
        <w:gridCol w:w="1133"/>
        <w:gridCol w:w="1203"/>
        <w:gridCol w:w="2098"/>
        <w:gridCol w:w="1103"/>
        <w:gridCol w:w="2455"/>
        <w:gridCol w:w="1972"/>
        <w:gridCol w:w="2921"/>
      </w:tblGrid>
      <w:tr w:rsidR="00310F49" w:rsidRPr="00431C78" w14:paraId="2B2EA6DA" w14:textId="77777777" w:rsidTr="00310F49">
        <w:trPr>
          <w:tblHeader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462D" w14:textId="77777777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122" w14:textId="05996728" w:rsidR="00E2523D" w:rsidRDefault="00E2523D" w:rsidP="00A45C83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Folge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EB94" w14:textId="361191F6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Risiko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CE1" w14:textId="3834EEBF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Bewertung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AE8B" w14:textId="4F7514E9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Chance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036A" w14:textId="77777777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Bewertung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6959" w14:textId="77777777" w:rsidR="00E2523D" w:rsidRDefault="00E2523D" w:rsidP="00E2523D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Durchschnittswert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44D5" w14:textId="77777777" w:rsidR="00E2523D" w:rsidRDefault="00E2523D" w:rsidP="00E2523D">
            <w:pPr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Relevanz nach Definition eines Schwellenwertes** </w:t>
            </w:r>
          </w:p>
        </w:tc>
      </w:tr>
      <w:tr w:rsidR="00310F49" w:rsidRPr="00CF0FE3" w14:paraId="34A3C30A" w14:textId="77777777" w:rsidTr="00310F49"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BC42" w14:textId="77777777" w:rsidR="00E2523D" w:rsidRDefault="00E2523D" w:rsidP="00E2523D">
            <w:pPr>
              <w:spacing w:before="120"/>
              <w:rPr>
                <w:b/>
                <w:sz w:val="20"/>
                <w:szCs w:val="20"/>
              </w:rPr>
            </w:pPr>
            <w:r w:rsidRPr="004E46F8">
              <w:rPr>
                <w:b/>
                <w:sz w:val="20"/>
                <w:szCs w:val="20"/>
              </w:rPr>
              <w:t>Themen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0A66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0AB" w14:textId="481C4064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B00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9AB1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252D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6AB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155F" w14:textId="77777777" w:rsidR="00E2523D" w:rsidRPr="00CF0FE3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</w:tr>
      <w:tr w:rsidR="00E2523D" w:rsidRPr="00CF0FE3" w14:paraId="289DEC5C" w14:textId="77777777" w:rsidTr="00310F49"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E3532" w14:textId="167626B6" w:rsidR="00E2523D" w:rsidRPr="00033C49" w:rsidRDefault="00A45C83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Thema 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0C2E0" w14:textId="6C795E07" w:rsidR="00E2523D" w:rsidRDefault="00A45C83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Folge 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FE34C" w14:textId="597FD26B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9B05B" w14:textId="61B7D8AC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(Wahrscheinlichkeit x Schaden)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073C3" w14:textId="2E200BB3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Intern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FFFE" w14:textId="7806DCC2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(Wahrscheinlichkeit x Wirkung)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02821" w14:textId="77777777" w:rsidR="00E2523D" w:rsidRPr="00CF0FE3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05DDF" w14:textId="77777777" w:rsidR="00E2523D" w:rsidRPr="00CF0FE3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(Ja / Nein)</w:t>
            </w:r>
          </w:p>
        </w:tc>
      </w:tr>
      <w:tr w:rsidR="00E2523D" w:rsidRPr="00CF0FE3" w14:paraId="0BA3528C" w14:textId="77777777" w:rsidTr="00310F49"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4FAD" w14:textId="77777777" w:rsidR="00E2523D" w:rsidRPr="00033C49" w:rsidRDefault="00E2523D" w:rsidP="00E2523D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9C3" w14:textId="0153CEAB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19A" w14:textId="76FD4740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Extern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6A89" w14:textId="643AC1A8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(Wahrscheinlichkeit x Schaden)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E880" w14:textId="1E6DACEB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Extern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638" w14:textId="77777777" w:rsidR="00E2523D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(Wahrscheinlichkeit x Wirkung)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4740" w14:textId="77777777" w:rsidR="00E2523D" w:rsidRPr="00CF0FE3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FC2" w14:textId="77777777" w:rsidR="00E2523D" w:rsidRPr="00CF0FE3" w:rsidRDefault="00E2523D" w:rsidP="00E2523D">
            <w:pPr>
              <w:spacing w:before="120"/>
              <w:rPr>
                <w:bCs/>
                <w:sz w:val="20"/>
                <w:szCs w:val="20"/>
              </w:rPr>
            </w:pPr>
          </w:p>
        </w:tc>
      </w:tr>
    </w:tbl>
    <w:p w14:paraId="2B1A8553" w14:textId="77777777" w:rsidR="00E53211" w:rsidRDefault="00E53211" w:rsidP="004E3279">
      <w:pPr>
        <w:tabs>
          <w:tab w:val="num" w:pos="0"/>
        </w:tabs>
        <w:spacing w:line="276" w:lineRule="auto"/>
        <w:rPr>
          <w:bCs/>
          <w:i/>
          <w:iCs/>
        </w:rPr>
      </w:pPr>
    </w:p>
    <w:p w14:paraId="5E1666EC" w14:textId="77777777" w:rsidR="00E2523D" w:rsidRPr="004E3279" w:rsidRDefault="00E2523D" w:rsidP="004E3279">
      <w:pPr>
        <w:tabs>
          <w:tab w:val="num" w:pos="0"/>
        </w:tabs>
        <w:spacing w:line="276" w:lineRule="auto"/>
        <w:rPr>
          <w:bCs/>
          <w:i/>
          <w:iCs/>
        </w:rPr>
      </w:pPr>
    </w:p>
    <w:p w14:paraId="76DEFD0C" w14:textId="77777777" w:rsidR="0096698B" w:rsidRDefault="0096698B" w:rsidP="0036742C">
      <w:pPr>
        <w:spacing w:after="0"/>
        <w:rPr>
          <w:bCs/>
        </w:rPr>
      </w:pPr>
    </w:p>
    <w:p w14:paraId="0440F489" w14:textId="77777777" w:rsidR="00905353" w:rsidRDefault="00905353" w:rsidP="0036742C">
      <w:pPr>
        <w:spacing w:after="0" w:line="276" w:lineRule="auto"/>
      </w:pPr>
      <w:r>
        <w:br w:type="page"/>
      </w:r>
    </w:p>
    <w:p w14:paraId="017912E1" w14:textId="18E42A8C" w:rsidR="0036742C" w:rsidRDefault="0019053D" w:rsidP="0036742C">
      <w:pPr>
        <w:spacing w:after="0" w:line="276" w:lineRule="auto"/>
        <w:rPr>
          <w:bCs/>
        </w:rPr>
      </w:pPr>
      <w:r w:rsidRPr="0019053D">
        <w:t xml:space="preserve">Erkannte Chancen und Risiken werden </w:t>
      </w:r>
      <w:r w:rsidR="001B4BD7">
        <w:t>nach</w:t>
      </w:r>
      <w:r w:rsidRPr="0019053D">
        <w:t xml:space="preserve"> Eintrittswahrscheinlichkeit</w:t>
      </w:r>
      <w:r w:rsidR="007C25CB">
        <w:t xml:space="preserve"> und Effekt (Schaden bzw. Wirkung)</w:t>
      </w:r>
      <w:r w:rsidRPr="0019053D">
        <w:t xml:space="preserve"> </w:t>
      </w:r>
      <w:r w:rsidR="001B4BD7" w:rsidRPr="0019053D">
        <w:t>beurteilt</w:t>
      </w:r>
      <w:r w:rsidR="001B4BD7">
        <w:t>. A</w:t>
      </w:r>
      <w:r w:rsidRPr="0019053D">
        <w:t xml:space="preserve">uch </w:t>
      </w:r>
      <w:r w:rsidR="001B4BD7">
        <w:t>die</w:t>
      </w:r>
      <w:r w:rsidRPr="0019053D">
        <w:t xml:space="preserve"> weitere Nutzung von Ressourcen und Abhängigkeit von Geschäftsbeziehungen</w:t>
      </w:r>
      <w:r w:rsidR="001B4BD7">
        <w:t xml:space="preserve"> sollten im Hinterkopf behalten werden</w:t>
      </w:r>
      <w:r w:rsidRPr="0019053D">
        <w:t>.</w:t>
      </w:r>
    </w:p>
    <w:p w14:paraId="597A5624" w14:textId="77777777" w:rsidR="0036742C" w:rsidRDefault="0036742C" w:rsidP="0036742C">
      <w:pPr>
        <w:spacing w:after="0" w:line="276" w:lineRule="auto"/>
        <w:rPr>
          <w:bCs/>
        </w:rPr>
      </w:pPr>
    </w:p>
    <w:p w14:paraId="7D4873C8" w14:textId="1D75DEB9" w:rsidR="00E30346" w:rsidRDefault="00726B9C" w:rsidP="00DB6B3F">
      <w:pPr>
        <w:spacing w:after="0" w:line="276" w:lineRule="auto"/>
        <w:ind w:left="2694" w:hanging="2694"/>
        <w:rPr>
          <w:bCs/>
        </w:rPr>
      </w:pPr>
      <w:r w:rsidRPr="001B6DF6">
        <w:rPr>
          <w:bCs/>
          <w:u w:val="single"/>
        </w:rPr>
        <w:t>Wahrscheinlichkeit</w:t>
      </w:r>
      <w:r>
        <w:rPr>
          <w:bCs/>
        </w:rPr>
        <w:t>:</w:t>
      </w:r>
      <w:r>
        <w:rPr>
          <w:bCs/>
        </w:rPr>
        <w:tab/>
      </w:r>
      <w:r w:rsidR="00DB6B3F">
        <w:rPr>
          <w:bCs/>
        </w:rPr>
        <w:tab/>
      </w:r>
      <w:r w:rsidRPr="00C974D8">
        <w:rPr>
          <w:bCs/>
        </w:rPr>
        <w:t>1=</w:t>
      </w:r>
      <w:r>
        <w:rPr>
          <w:bCs/>
        </w:rPr>
        <w:t>sehr selten (seltener als alle 15 Jahre), 2=selten (ca. alle 5-15 Jahre), 3=gelegentlich (ca. alle 2-5 Jahre), 4=häufig (ca. jährlich),</w:t>
      </w:r>
      <w:r w:rsidRPr="00C974D8">
        <w:rPr>
          <w:bCs/>
        </w:rPr>
        <w:t xml:space="preserve"> 5=</w:t>
      </w:r>
      <w:r>
        <w:rPr>
          <w:bCs/>
        </w:rPr>
        <w:t>sicher (mehrmals jährlich)</w:t>
      </w:r>
    </w:p>
    <w:p w14:paraId="5DDCAF55" w14:textId="77777777" w:rsidR="00905353" w:rsidRDefault="00905353" w:rsidP="00E30346">
      <w:pPr>
        <w:spacing w:after="0" w:line="276" w:lineRule="auto"/>
        <w:ind w:left="2268" w:hanging="2268"/>
        <w:rPr>
          <w:bCs/>
        </w:rPr>
      </w:pPr>
    </w:p>
    <w:p w14:paraId="3DEF7A80" w14:textId="0291E8A5" w:rsidR="00632C46" w:rsidRDefault="00726B9C" w:rsidP="00DB6B3F">
      <w:pPr>
        <w:spacing w:after="0" w:line="276" w:lineRule="auto"/>
        <w:ind w:left="2835" w:hanging="2835"/>
        <w:rPr>
          <w:bCs/>
        </w:rPr>
      </w:pPr>
      <w:r w:rsidRPr="001B6DF6">
        <w:rPr>
          <w:bCs/>
          <w:u w:val="single"/>
        </w:rPr>
        <w:lastRenderedPageBreak/>
        <w:t>Schaden</w:t>
      </w:r>
      <w:r w:rsidR="0059276B" w:rsidRPr="001B6DF6">
        <w:rPr>
          <w:bCs/>
          <w:u w:val="single"/>
        </w:rPr>
        <w:t xml:space="preserve"> </w:t>
      </w:r>
      <w:r w:rsidR="001B6DF6">
        <w:rPr>
          <w:bCs/>
          <w:u w:val="single"/>
        </w:rPr>
        <w:t>bzw.</w:t>
      </w:r>
      <w:r w:rsidR="0059276B" w:rsidRPr="001B6DF6">
        <w:rPr>
          <w:bCs/>
          <w:u w:val="single"/>
        </w:rPr>
        <w:t xml:space="preserve"> Wirkung</w:t>
      </w:r>
      <w:r>
        <w:rPr>
          <w:bCs/>
        </w:rPr>
        <w:t xml:space="preserve">: </w:t>
      </w:r>
      <w:r>
        <w:rPr>
          <w:bCs/>
        </w:rPr>
        <w:tab/>
      </w:r>
      <w:r w:rsidRPr="00C974D8">
        <w:rPr>
          <w:bCs/>
        </w:rPr>
        <w:t xml:space="preserve">1=sehr </w:t>
      </w:r>
      <w:r w:rsidR="0027179C">
        <w:rPr>
          <w:bCs/>
        </w:rPr>
        <w:t>gering</w:t>
      </w:r>
      <w:r>
        <w:rPr>
          <w:bCs/>
        </w:rPr>
        <w:t>, 2=gering, 3=mittel, 4=hoch,</w:t>
      </w:r>
      <w:r w:rsidRPr="00C974D8">
        <w:rPr>
          <w:bCs/>
        </w:rPr>
        <w:t xml:space="preserve"> 5=</w:t>
      </w:r>
      <w:r w:rsidR="0020140D">
        <w:rPr>
          <w:bCs/>
        </w:rPr>
        <w:t>sehr hoch</w:t>
      </w:r>
      <w:r w:rsidR="0027179C">
        <w:rPr>
          <w:bCs/>
        </w:rPr>
        <w:t xml:space="preserve"> (hier können zur besseren Einschätzung die Schadensklassen unternehmensspezifisch nach Umsatz angepasst werden)</w:t>
      </w:r>
    </w:p>
    <w:p w14:paraId="0B67E398" w14:textId="77777777" w:rsidR="00CF5DED" w:rsidRDefault="00CF5DED" w:rsidP="0036742C">
      <w:pPr>
        <w:spacing w:after="0" w:line="276" w:lineRule="auto"/>
        <w:rPr>
          <w:bCs/>
        </w:rPr>
      </w:pPr>
    </w:p>
    <w:p w14:paraId="3BD1E846" w14:textId="098D1FB4" w:rsidR="00905353" w:rsidRDefault="00472ECB" w:rsidP="0036742C">
      <w:pPr>
        <w:spacing w:after="0" w:line="276" w:lineRule="auto"/>
        <w:rPr>
          <w:bCs/>
        </w:rPr>
      </w:pPr>
      <w:r>
        <w:rPr>
          <w:bCs/>
        </w:rPr>
        <w:t>Im Anschluss wird für jedes Thema bzw. Unterthema der Durchschnittswert gebildet.</w:t>
      </w:r>
    </w:p>
    <w:p w14:paraId="72FA3B92" w14:textId="77777777" w:rsidR="00905353" w:rsidRDefault="00905353" w:rsidP="0036742C">
      <w:pPr>
        <w:spacing w:after="0" w:line="276" w:lineRule="auto"/>
        <w:rPr>
          <w:bCs/>
        </w:rPr>
      </w:pPr>
    </w:p>
    <w:p w14:paraId="08258BEB" w14:textId="77777777" w:rsidR="00905353" w:rsidRDefault="00905353" w:rsidP="00905353">
      <w:pPr>
        <w:rPr>
          <w:bCs/>
          <w:color w:val="7F7F7F" w:themeColor="text1" w:themeTint="80"/>
        </w:rPr>
      </w:pPr>
      <w:r w:rsidRPr="00D435DA">
        <w:rPr>
          <w:bCs/>
          <w:color w:val="7F7F7F" w:themeColor="text1" w:themeTint="80"/>
        </w:rPr>
        <w:t xml:space="preserve">Beispiel: </w:t>
      </w:r>
    </w:p>
    <w:tbl>
      <w:tblPr>
        <w:tblStyle w:val="Tabellenraster"/>
        <w:tblW w:w="14170" w:type="dxa"/>
        <w:tblLook w:val="0400" w:firstRow="0" w:lastRow="0" w:firstColumn="0" w:lastColumn="0" w:noHBand="0" w:noVBand="1"/>
        <w:tblCaption w:val="layout"/>
      </w:tblPr>
      <w:tblGrid>
        <w:gridCol w:w="1413"/>
        <w:gridCol w:w="1559"/>
        <w:gridCol w:w="2287"/>
        <w:gridCol w:w="1548"/>
        <w:gridCol w:w="1995"/>
        <w:gridCol w:w="1533"/>
        <w:gridCol w:w="1628"/>
        <w:gridCol w:w="2207"/>
      </w:tblGrid>
      <w:tr w:rsidR="00194DD3" w:rsidRPr="00310F49" w14:paraId="20CA8247" w14:textId="77777777" w:rsidTr="0073656A">
        <w:trPr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CB6" w14:textId="77777777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4F3" w14:textId="77777777" w:rsidR="00310F49" w:rsidRPr="00310F49" w:rsidRDefault="00310F49" w:rsidP="002957C5">
            <w:pPr>
              <w:spacing w:before="120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Folge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828" w14:textId="77777777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Risiko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E41E" w14:textId="77777777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Bewertung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27B8" w14:textId="77777777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Chance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8FF" w14:textId="77777777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Bewertung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F99" w14:textId="557062CA" w:rsidR="00310F49" w:rsidRPr="00310F49" w:rsidRDefault="00310F49" w:rsidP="002957C5">
            <w:pPr>
              <w:spacing w:before="120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Durchschnitts</w:t>
            </w:r>
            <w:r w:rsidR="0073656A">
              <w:rPr>
                <w:b/>
                <w:color w:val="7F7F7F" w:themeColor="text1" w:themeTint="80"/>
                <w:sz w:val="20"/>
                <w:szCs w:val="20"/>
              </w:rPr>
              <w:t>-</w:t>
            </w: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wert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C5B5" w14:textId="77777777" w:rsidR="00310F49" w:rsidRPr="00310F49" w:rsidRDefault="00310F49" w:rsidP="002957C5">
            <w:pPr>
              <w:spacing w:before="120" w:line="276" w:lineRule="auto"/>
              <w:jc w:val="center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 xml:space="preserve">Relevanz nach Definition eines Schwellenwertes** </w:t>
            </w:r>
          </w:p>
        </w:tc>
      </w:tr>
      <w:tr w:rsidR="00194DD3" w:rsidRPr="00310F49" w14:paraId="25889820" w14:textId="77777777" w:rsidTr="0073656A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940" w14:textId="77777777" w:rsidR="00310F49" w:rsidRPr="00310F49" w:rsidRDefault="00310F49" w:rsidP="002957C5">
            <w:pPr>
              <w:spacing w:before="120"/>
              <w:rPr>
                <w:b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/>
                <w:color w:val="7F7F7F" w:themeColor="text1" w:themeTint="80"/>
                <w:sz w:val="20"/>
                <w:szCs w:val="20"/>
              </w:rPr>
              <w:t>Themen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AC5B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A10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AD5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11B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FF2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96A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A75" w14:textId="77777777" w:rsidR="00310F49" w:rsidRPr="00310F49" w:rsidRDefault="00310F49" w:rsidP="002957C5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R="00194DD3" w:rsidRPr="00310F49" w14:paraId="6B9BF362" w14:textId="77777777" w:rsidTr="0073656A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0D394" w14:textId="1675EE73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Klima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80F9" w14:textId="05B04A3B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Cs/>
                <w:color w:val="7F7F7F" w:themeColor="text1" w:themeTint="80"/>
                <w:sz w:val="20"/>
                <w:szCs w:val="20"/>
              </w:rPr>
              <w:t>Starkregen und Überflutungen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DB0BD" w14:textId="045651B0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7D686B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Intern</w:t>
            </w:r>
            <w:r w:rsidRPr="007D686B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 Auftragsverlust durch Produktions-ausfälle im Unternehmen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2C2A" w14:textId="1857FF30" w:rsidR="00310F49" w:rsidRPr="00310F49" w:rsidRDefault="007D686B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1</w:t>
            </w:r>
            <w:r w:rsidR="00D73886">
              <w:rPr>
                <w:bCs/>
                <w:color w:val="7F7F7F" w:themeColor="text1" w:themeTint="80"/>
                <w:sz w:val="20"/>
                <w:szCs w:val="20"/>
              </w:rPr>
              <w:t>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4F124" w14:textId="611F38FB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194DD3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Intern</w:t>
            </w:r>
            <w:r w:rsidR="00194DD3" w:rsidRPr="00194DD3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:</w:t>
            </w:r>
            <w:r w:rsidR="00194DD3">
              <w:rPr>
                <w:bCs/>
                <w:color w:val="7F7F7F" w:themeColor="text1" w:themeTint="80"/>
                <w:sz w:val="20"/>
                <w:szCs w:val="20"/>
              </w:rPr>
              <w:t xml:space="preserve"> Erhöhte Einnahmen durch Erschließung von Geschäftsbereichen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E086" w14:textId="6576A4B0" w:rsidR="00310F49" w:rsidRPr="00310F49" w:rsidRDefault="00194DD3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5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95B7B" w14:textId="3D03D9A4" w:rsidR="00310F49" w:rsidRPr="00310F49" w:rsidRDefault="00D73886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7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75F9D" w14:textId="712548A9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310F49">
              <w:rPr>
                <w:bCs/>
                <w:color w:val="7F7F7F" w:themeColor="text1" w:themeTint="80"/>
                <w:sz w:val="20"/>
                <w:szCs w:val="20"/>
              </w:rPr>
              <w:t>Nein</w:t>
            </w:r>
          </w:p>
        </w:tc>
      </w:tr>
      <w:tr w:rsidR="00194DD3" w:rsidRPr="00310F49" w14:paraId="24F39C63" w14:textId="77777777" w:rsidTr="0073656A"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F46" w14:textId="77777777" w:rsidR="00310F49" w:rsidRPr="00310F49" w:rsidRDefault="00310F49" w:rsidP="00310F49">
            <w:pPr>
              <w:spacing w:before="120"/>
              <w:rPr>
                <w:b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730" w14:textId="77777777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8D2" w14:textId="66F77C8E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 w:rsidRPr="007D686B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Extern</w:t>
            </w:r>
            <w:r w:rsidRPr="007D686B"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bCs/>
                <w:color w:val="7F7F7F" w:themeColor="text1" w:themeTint="80"/>
                <w:sz w:val="20"/>
                <w:szCs w:val="20"/>
              </w:rPr>
              <w:t xml:space="preserve"> Erhöhte Beschaffungskosten für das Unternehmen durch Lieferausfälle in der Vorkette 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07D8" w14:textId="4E31C572" w:rsidR="00310F49" w:rsidRPr="00310F49" w:rsidRDefault="00FA0AF6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6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D537" w14:textId="05AC4EA2" w:rsidR="00310F49" w:rsidRPr="00310F49" w:rsidRDefault="00194DD3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i/>
                <w:iCs/>
                <w:color w:val="7F7F7F" w:themeColor="text1" w:themeTint="80"/>
                <w:sz w:val="20"/>
                <w:szCs w:val="20"/>
              </w:rPr>
              <w:t>/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076" w14:textId="51B9EA38" w:rsidR="00310F49" w:rsidRPr="00310F49" w:rsidRDefault="00194DD3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bCs/>
                <w:color w:val="7F7F7F" w:themeColor="text1" w:themeTint="80"/>
                <w:sz w:val="20"/>
                <w:szCs w:val="20"/>
              </w:rPr>
              <w:t>/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14C6" w14:textId="77777777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A49B" w14:textId="77777777" w:rsidR="00310F49" w:rsidRPr="00310F49" w:rsidRDefault="00310F49" w:rsidP="00310F49">
            <w:pPr>
              <w:spacing w:before="120"/>
              <w:rPr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14:paraId="776C37D7" w14:textId="1923E506" w:rsidR="00864508" w:rsidRPr="00864508" w:rsidRDefault="00864508" w:rsidP="00864508">
      <w:pPr>
        <w:rPr>
          <w:b/>
          <w:sz w:val="20"/>
          <w:szCs w:val="20"/>
        </w:rPr>
      </w:pPr>
      <w:r w:rsidRPr="000F496E">
        <w:rPr>
          <w:b/>
          <w:bCs/>
        </w:rPr>
        <w:t xml:space="preserve">Teil </w:t>
      </w:r>
      <w:r>
        <w:rPr>
          <w:b/>
          <w:bCs/>
        </w:rPr>
        <w:t>3</w:t>
      </w:r>
      <w:r w:rsidRPr="000F496E">
        <w:rPr>
          <w:b/>
          <w:bCs/>
        </w:rPr>
        <w:t>:</w:t>
      </w:r>
      <w:r>
        <w:t xml:space="preserve"> </w:t>
      </w:r>
      <w:r>
        <w:rPr>
          <w:b/>
          <w:sz w:val="20"/>
          <w:szCs w:val="20"/>
        </w:rPr>
        <w:t>Kombination der Ergebnisse und Ergänzung der</w:t>
      </w:r>
      <w:r w:rsidR="008320E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Stakeholderperspektive</w:t>
      </w:r>
    </w:p>
    <w:p w14:paraId="0F0B18A8" w14:textId="77777777" w:rsidR="008320EF" w:rsidRDefault="00CF5DED" w:rsidP="00CF5DED">
      <w:pPr>
        <w:tabs>
          <w:tab w:val="num" w:pos="0"/>
        </w:tabs>
        <w:rPr>
          <w:bCs/>
        </w:rPr>
      </w:pPr>
      <w:r>
        <w:t xml:space="preserve">Für eine übersichtliche Darstellung ist es sinnvoll, die Ergebnisse in eine Wesentlichkeitsmatrix </w:t>
      </w:r>
      <w:r w:rsidR="002D22AD">
        <w:t xml:space="preserve">zusammenzufassen und </w:t>
      </w:r>
      <w:r>
        <w:t>einzuordnen.</w:t>
      </w:r>
      <w:r w:rsidR="001529E8">
        <w:t xml:space="preserve"> </w:t>
      </w:r>
      <w:r w:rsidR="00E53211">
        <w:rPr>
          <w:bCs/>
        </w:rPr>
        <w:t xml:space="preserve">Berücksichtigen Sie dabei auch die Ergebnisse aus dem </w:t>
      </w:r>
      <w:r w:rsidR="00E53211" w:rsidRPr="00892737">
        <w:t xml:space="preserve">Arbeitsblatt </w:t>
      </w:r>
      <w:hyperlink r:id="rId14" w:history="1">
        <w:r w:rsidR="00E53211" w:rsidRPr="00892737">
          <w:rPr>
            <w:rStyle w:val="Hyperlink"/>
          </w:rPr>
          <w:t>„Anspruchsgruppenanalyse und -dialog“</w:t>
        </w:r>
      </w:hyperlink>
      <w:r w:rsidR="00E53211" w:rsidRPr="00892737">
        <w:t xml:space="preserve"> des IZU Infozentrum UmweltWirtschaft sowie de</w:t>
      </w:r>
      <w:r w:rsidR="00E53211">
        <w:t>m</w:t>
      </w:r>
      <w:r w:rsidR="00E53211" w:rsidRPr="00892737">
        <w:t xml:space="preserve"> </w:t>
      </w:r>
      <w:hyperlink r:id="rId15" w:history="1">
        <w:r w:rsidR="00E53211" w:rsidRPr="00CB4E0D">
          <w:rPr>
            <w:rStyle w:val="Hyperlink"/>
          </w:rPr>
          <w:t>Praxisleitfaden des Bayerischen Landesamts für Umwelt zur Anspruchsgruppenanalyse „Wer will eigentlich was von Ihrem Unternehmen?“</w:t>
        </w:r>
      </w:hyperlink>
      <w:r w:rsidR="00E53211">
        <w:rPr>
          <w:bCs/>
        </w:rPr>
        <w:t>.</w:t>
      </w:r>
      <w:r w:rsidR="001529E8">
        <w:rPr>
          <w:bCs/>
        </w:rPr>
        <w:t xml:space="preserve"> Die Relevanz für die Stakeholder kann dabei auf einer Skala von 1 bis 5 (gering bis hoch) bewertet werden. Decken sich die Themen und Unterthemen der ESRS nicht mit den Anliegen der Anspruchsgruppen, kann deren Perspektive über Dialoge oder Befragungen noch eingeholt werden. </w:t>
      </w:r>
    </w:p>
    <w:p w14:paraId="416B7306" w14:textId="63C12693" w:rsidR="00CF5DED" w:rsidRPr="00726B9C" w:rsidRDefault="004F1B45" w:rsidP="008320EF">
      <w:pPr>
        <w:tabs>
          <w:tab w:val="num" w:pos="0"/>
        </w:tabs>
        <w:rPr>
          <w:bCs/>
        </w:rPr>
      </w:pPr>
      <w:r>
        <w:rPr>
          <w:noProof/>
        </w:rPr>
        <w:lastRenderedPageBreak/>
        <w:drawing>
          <wp:inline distT="0" distB="0" distL="0" distR="0" wp14:anchorId="608C94CA" wp14:editId="2758EB41">
            <wp:extent cx="5644599" cy="6473825"/>
            <wp:effectExtent l="0" t="0" r="0" b="3175"/>
            <wp:docPr id="1889040245" name="Grafik 2" descr="Ein Bild, das Text, Screensho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40245" name="Grafik 2" descr="Ein Bild, das Text, Screenshot, Diagramm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181" cy="655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5DED" w:rsidRPr="00726B9C" w:rsidSect="00242257">
      <w:headerReference w:type="default" r:id="rId17"/>
      <w:footerReference w:type="default" r:id="rId18"/>
      <w:headerReference w:type="first" r:id="rId19"/>
      <w:pgSz w:w="16840" w:h="11900" w:orient="landscape" w:code="9"/>
      <w:pgMar w:top="1418" w:right="1418" w:bottom="1418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D4E24" w14:textId="77777777" w:rsidR="00166E09" w:rsidRDefault="00166E09" w:rsidP="00C51595">
      <w:pPr>
        <w:spacing w:after="0" w:line="240" w:lineRule="auto"/>
      </w:pPr>
      <w:r>
        <w:separator/>
      </w:r>
    </w:p>
  </w:endnote>
  <w:endnote w:type="continuationSeparator" w:id="0">
    <w:p w14:paraId="2F6D55BA" w14:textId="77777777" w:rsidR="00166E09" w:rsidRDefault="00166E09" w:rsidP="00C51595">
      <w:pPr>
        <w:spacing w:after="0" w:line="240" w:lineRule="auto"/>
      </w:pPr>
      <w:r>
        <w:continuationSeparator/>
      </w:r>
    </w:p>
  </w:endnote>
  <w:endnote w:type="continuationNotice" w:id="1">
    <w:p w14:paraId="6047AA3C" w14:textId="77777777" w:rsidR="00166E09" w:rsidRDefault="00166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6806984"/>
      <w:docPartObj>
        <w:docPartGallery w:val="Page Numbers (Bottom of Page)"/>
        <w:docPartUnique/>
      </w:docPartObj>
    </w:sdtPr>
    <w:sdtEndPr/>
    <w:sdtContent>
      <w:p w14:paraId="59DD4118" w14:textId="2DEC4394" w:rsidR="006C6427" w:rsidRDefault="006C642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73F">
          <w:rPr>
            <w:noProof/>
          </w:rPr>
          <w:t>3</w:t>
        </w:r>
        <w:r>
          <w:fldChar w:fldCharType="end"/>
        </w:r>
      </w:p>
    </w:sdtContent>
  </w:sdt>
  <w:p w14:paraId="18172404" w14:textId="77777777" w:rsidR="001B483A" w:rsidRDefault="001B483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78144" w14:textId="77777777" w:rsidR="00166E09" w:rsidRDefault="00166E09" w:rsidP="00C51595">
      <w:pPr>
        <w:spacing w:after="0" w:line="240" w:lineRule="auto"/>
      </w:pPr>
      <w:r>
        <w:separator/>
      </w:r>
    </w:p>
  </w:footnote>
  <w:footnote w:type="continuationSeparator" w:id="0">
    <w:p w14:paraId="5D7FB458" w14:textId="77777777" w:rsidR="00166E09" w:rsidRDefault="00166E09" w:rsidP="00C51595">
      <w:pPr>
        <w:spacing w:after="0" w:line="240" w:lineRule="auto"/>
      </w:pPr>
      <w:r>
        <w:continuationSeparator/>
      </w:r>
    </w:p>
  </w:footnote>
  <w:footnote w:type="continuationNotice" w:id="1">
    <w:p w14:paraId="4F502229" w14:textId="77777777" w:rsidR="00166E09" w:rsidRDefault="00166E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F51F6" w14:textId="77777777" w:rsidR="001B483A" w:rsidRDefault="001B483A" w:rsidP="00D93D6B">
    <w:pPr>
      <w:pStyle w:val="Kopfzeile"/>
      <w:tabs>
        <w:tab w:val="clear" w:pos="4536"/>
        <w:tab w:val="clear" w:pos="9072"/>
        <w:tab w:val="center" w:pos="5670"/>
        <w:tab w:val="right" w:pos="1431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Kopfzeile mit Logo der IHK und Logo des StMAS"/>
    </w:tblPr>
    <w:tblGrid>
      <w:gridCol w:w="7141"/>
      <w:gridCol w:w="7142"/>
    </w:tblGrid>
    <w:tr w:rsidR="00242257" w14:paraId="1AA5A8ED" w14:textId="77777777" w:rsidTr="00BA0007">
      <w:trPr>
        <w:tblHeader/>
      </w:trPr>
      <w:tc>
        <w:tcPr>
          <w:tcW w:w="7141" w:type="dxa"/>
        </w:tcPr>
        <w:p w14:paraId="7759C5A8" w14:textId="77777777" w:rsidR="00242257" w:rsidRDefault="00242257" w:rsidP="00BA0007">
          <w:pPr>
            <w:pStyle w:val="Kopfzeile"/>
            <w:tabs>
              <w:tab w:val="clear" w:pos="4536"/>
              <w:tab w:val="clear" w:pos="9072"/>
              <w:tab w:val="center" w:pos="5670"/>
              <w:tab w:val="right" w:pos="6928"/>
            </w:tabs>
          </w:pPr>
          <w:r>
            <w:rPr>
              <w:noProof/>
            </w:rPr>
            <w:drawing>
              <wp:inline distT="0" distB="0" distL="0" distR="0" wp14:anchorId="604E5560" wp14:editId="382E3671">
                <wp:extent cx="2387600" cy="516936"/>
                <wp:effectExtent l="0" t="0" r="0" b="0"/>
                <wp:docPr id="5" name="Grafik 5" descr="C:\Users\gernens\AppData\Local\Microsoft\Windows\Temporary Internet Files\Content.Outlook\U3VH3MF8\Logo BIHK.jpg" title="Logo der IH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gernens\AppData\Local\Microsoft\Windows\Temporary Internet Files\Content.Outlook\U3VH3MF8\Logo BIH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537" cy="519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  <w:tcMar>
            <w:right w:w="0" w:type="dxa"/>
          </w:tcMar>
        </w:tcPr>
        <w:p w14:paraId="4A00C580" w14:textId="77777777" w:rsidR="00242257" w:rsidRDefault="00242257" w:rsidP="00BA0007">
          <w:pPr>
            <w:pStyle w:val="Kopfzeile"/>
            <w:tabs>
              <w:tab w:val="clear" w:pos="4536"/>
              <w:tab w:val="clear" w:pos="9072"/>
              <w:tab w:val="center" w:pos="5670"/>
              <w:tab w:val="right" w:pos="14317"/>
            </w:tabs>
            <w:ind w:right="-39"/>
            <w:jc w:val="right"/>
          </w:pPr>
          <w:r>
            <w:rPr>
              <w:noProof/>
            </w:rPr>
            <w:drawing>
              <wp:inline distT="0" distB="0" distL="0" distR="0" wp14:anchorId="5FEB5C79" wp14:editId="63477C79">
                <wp:extent cx="3590925" cy="585470"/>
                <wp:effectExtent l="0" t="0" r="9525" b="5080"/>
                <wp:docPr id="6" name="Grafik 6" title="Logo des StMA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title="Logo des StMAS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0925" cy="585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20D965E" w14:textId="77777777" w:rsidR="00242257" w:rsidRDefault="002422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8B"/>
    <w:multiLevelType w:val="hybridMultilevel"/>
    <w:tmpl w:val="89282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C7315"/>
    <w:multiLevelType w:val="hybridMultilevel"/>
    <w:tmpl w:val="5914CAD0"/>
    <w:lvl w:ilvl="0" w:tplc="43D23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A6F9F"/>
    <w:multiLevelType w:val="hybridMultilevel"/>
    <w:tmpl w:val="FC783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167C8"/>
    <w:multiLevelType w:val="hybridMultilevel"/>
    <w:tmpl w:val="50E49F28"/>
    <w:lvl w:ilvl="0" w:tplc="43D23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15A27"/>
    <w:multiLevelType w:val="hybridMultilevel"/>
    <w:tmpl w:val="996A0E24"/>
    <w:lvl w:ilvl="0" w:tplc="567E9534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B1A19"/>
    <w:multiLevelType w:val="hybridMultilevel"/>
    <w:tmpl w:val="B5DA04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B75B3"/>
    <w:multiLevelType w:val="hybridMultilevel"/>
    <w:tmpl w:val="67F82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885"/>
    <w:multiLevelType w:val="hybridMultilevel"/>
    <w:tmpl w:val="39E2F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0512"/>
    <w:multiLevelType w:val="hybridMultilevel"/>
    <w:tmpl w:val="73201B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E6444"/>
    <w:multiLevelType w:val="hybridMultilevel"/>
    <w:tmpl w:val="3D3A34EA"/>
    <w:lvl w:ilvl="0" w:tplc="B0E839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E4C15"/>
    <w:multiLevelType w:val="hybridMultilevel"/>
    <w:tmpl w:val="29A06A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D1DDE"/>
    <w:multiLevelType w:val="hybridMultilevel"/>
    <w:tmpl w:val="21B21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351371">
    <w:abstractNumId w:val="7"/>
  </w:num>
  <w:num w:numId="2" w16cid:durableId="848106755">
    <w:abstractNumId w:val="8"/>
  </w:num>
  <w:num w:numId="3" w16cid:durableId="1653947057">
    <w:abstractNumId w:val="0"/>
  </w:num>
  <w:num w:numId="4" w16cid:durableId="955058930">
    <w:abstractNumId w:val="10"/>
  </w:num>
  <w:num w:numId="5" w16cid:durableId="36391393">
    <w:abstractNumId w:val="6"/>
  </w:num>
  <w:num w:numId="6" w16cid:durableId="351077625">
    <w:abstractNumId w:val="5"/>
  </w:num>
  <w:num w:numId="7" w16cid:durableId="509876329">
    <w:abstractNumId w:val="11"/>
  </w:num>
  <w:num w:numId="8" w16cid:durableId="703211216">
    <w:abstractNumId w:val="4"/>
  </w:num>
  <w:num w:numId="9" w16cid:durableId="1447234171">
    <w:abstractNumId w:val="1"/>
  </w:num>
  <w:num w:numId="10" w16cid:durableId="270747978">
    <w:abstractNumId w:val="3"/>
  </w:num>
  <w:num w:numId="11" w16cid:durableId="1311591384">
    <w:abstractNumId w:val="2"/>
  </w:num>
  <w:num w:numId="12" w16cid:durableId="772479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14"/>
    <w:rsid w:val="00021C5F"/>
    <w:rsid w:val="00031B3F"/>
    <w:rsid w:val="00033C49"/>
    <w:rsid w:val="00033EEC"/>
    <w:rsid w:val="00040648"/>
    <w:rsid w:val="0005221F"/>
    <w:rsid w:val="00057F01"/>
    <w:rsid w:val="00075E21"/>
    <w:rsid w:val="00083622"/>
    <w:rsid w:val="00086C84"/>
    <w:rsid w:val="00093196"/>
    <w:rsid w:val="00093378"/>
    <w:rsid w:val="00093DF0"/>
    <w:rsid w:val="000B6EFE"/>
    <w:rsid w:val="000C17EA"/>
    <w:rsid w:val="000C3500"/>
    <w:rsid w:val="000F0B3E"/>
    <w:rsid w:val="000F4650"/>
    <w:rsid w:val="000F496E"/>
    <w:rsid w:val="000F5901"/>
    <w:rsid w:val="000F6F60"/>
    <w:rsid w:val="00121AE9"/>
    <w:rsid w:val="001416D4"/>
    <w:rsid w:val="001529E8"/>
    <w:rsid w:val="00157EAE"/>
    <w:rsid w:val="001662FA"/>
    <w:rsid w:val="00166931"/>
    <w:rsid w:val="00166E09"/>
    <w:rsid w:val="0019053D"/>
    <w:rsid w:val="00191022"/>
    <w:rsid w:val="00194DD3"/>
    <w:rsid w:val="00197C07"/>
    <w:rsid w:val="001A787F"/>
    <w:rsid w:val="001B2D04"/>
    <w:rsid w:val="001B483A"/>
    <w:rsid w:val="001B4BD7"/>
    <w:rsid w:val="001B6DF6"/>
    <w:rsid w:val="001C676D"/>
    <w:rsid w:val="001C69D1"/>
    <w:rsid w:val="001C7DD2"/>
    <w:rsid w:val="001E5525"/>
    <w:rsid w:val="001F2A30"/>
    <w:rsid w:val="001F4ACA"/>
    <w:rsid w:val="00200124"/>
    <w:rsid w:val="00200F0B"/>
    <w:rsid w:val="0020140D"/>
    <w:rsid w:val="00211F94"/>
    <w:rsid w:val="00242257"/>
    <w:rsid w:val="00261871"/>
    <w:rsid w:val="0027179C"/>
    <w:rsid w:val="00284ED5"/>
    <w:rsid w:val="002B1483"/>
    <w:rsid w:val="002B7A52"/>
    <w:rsid w:val="002D0148"/>
    <w:rsid w:val="002D22AD"/>
    <w:rsid w:val="002F1063"/>
    <w:rsid w:val="00310F49"/>
    <w:rsid w:val="0031510F"/>
    <w:rsid w:val="003543E4"/>
    <w:rsid w:val="00356D5B"/>
    <w:rsid w:val="003630B2"/>
    <w:rsid w:val="0036742C"/>
    <w:rsid w:val="003715BA"/>
    <w:rsid w:val="003A0ED1"/>
    <w:rsid w:val="003A5E63"/>
    <w:rsid w:val="003B7B3B"/>
    <w:rsid w:val="003D2B4E"/>
    <w:rsid w:val="003D6CE9"/>
    <w:rsid w:val="0040297C"/>
    <w:rsid w:val="00431C78"/>
    <w:rsid w:val="004414E4"/>
    <w:rsid w:val="00443590"/>
    <w:rsid w:val="00443819"/>
    <w:rsid w:val="00472ECB"/>
    <w:rsid w:val="004758E8"/>
    <w:rsid w:val="00477C32"/>
    <w:rsid w:val="004819C0"/>
    <w:rsid w:val="004979A1"/>
    <w:rsid w:val="004A5D63"/>
    <w:rsid w:val="004A73D4"/>
    <w:rsid w:val="004B34FD"/>
    <w:rsid w:val="004D2497"/>
    <w:rsid w:val="004D467F"/>
    <w:rsid w:val="004E3279"/>
    <w:rsid w:val="004E46F8"/>
    <w:rsid w:val="004F1B45"/>
    <w:rsid w:val="004F4ED5"/>
    <w:rsid w:val="00503585"/>
    <w:rsid w:val="005048C8"/>
    <w:rsid w:val="00506CE2"/>
    <w:rsid w:val="00521063"/>
    <w:rsid w:val="005613ED"/>
    <w:rsid w:val="00584864"/>
    <w:rsid w:val="005920E0"/>
    <w:rsid w:val="0059276B"/>
    <w:rsid w:val="005B3C53"/>
    <w:rsid w:val="005B4ED4"/>
    <w:rsid w:val="005B6046"/>
    <w:rsid w:val="005D0AB6"/>
    <w:rsid w:val="005E6C87"/>
    <w:rsid w:val="005F09D0"/>
    <w:rsid w:val="00632C46"/>
    <w:rsid w:val="0066257A"/>
    <w:rsid w:val="0066343A"/>
    <w:rsid w:val="006736D9"/>
    <w:rsid w:val="006872D7"/>
    <w:rsid w:val="00687B08"/>
    <w:rsid w:val="006C6427"/>
    <w:rsid w:val="006E5155"/>
    <w:rsid w:val="006F477A"/>
    <w:rsid w:val="00705099"/>
    <w:rsid w:val="007116DC"/>
    <w:rsid w:val="00724F6D"/>
    <w:rsid w:val="00726B9C"/>
    <w:rsid w:val="0073089C"/>
    <w:rsid w:val="0073656A"/>
    <w:rsid w:val="00756563"/>
    <w:rsid w:val="00763D83"/>
    <w:rsid w:val="00765749"/>
    <w:rsid w:val="007727C5"/>
    <w:rsid w:val="00774F66"/>
    <w:rsid w:val="00781716"/>
    <w:rsid w:val="007835A6"/>
    <w:rsid w:val="00786CA3"/>
    <w:rsid w:val="0079205A"/>
    <w:rsid w:val="007A6656"/>
    <w:rsid w:val="007B55AA"/>
    <w:rsid w:val="007C25CB"/>
    <w:rsid w:val="007C5712"/>
    <w:rsid w:val="007D686B"/>
    <w:rsid w:val="007E0588"/>
    <w:rsid w:val="00801F0A"/>
    <w:rsid w:val="008139B3"/>
    <w:rsid w:val="00814181"/>
    <w:rsid w:val="00824136"/>
    <w:rsid w:val="008320EF"/>
    <w:rsid w:val="00842DF3"/>
    <w:rsid w:val="008442B2"/>
    <w:rsid w:val="00846C83"/>
    <w:rsid w:val="008640F8"/>
    <w:rsid w:val="00864508"/>
    <w:rsid w:val="0086627A"/>
    <w:rsid w:val="008715AB"/>
    <w:rsid w:val="008757F7"/>
    <w:rsid w:val="00887248"/>
    <w:rsid w:val="008C0C58"/>
    <w:rsid w:val="008C505F"/>
    <w:rsid w:val="008D2D2A"/>
    <w:rsid w:val="008E2017"/>
    <w:rsid w:val="008F4744"/>
    <w:rsid w:val="00905353"/>
    <w:rsid w:val="0090769C"/>
    <w:rsid w:val="00914AA8"/>
    <w:rsid w:val="0092337E"/>
    <w:rsid w:val="0092636B"/>
    <w:rsid w:val="009335B5"/>
    <w:rsid w:val="0096698B"/>
    <w:rsid w:val="009705AD"/>
    <w:rsid w:val="00977552"/>
    <w:rsid w:val="009A673F"/>
    <w:rsid w:val="009A77D1"/>
    <w:rsid w:val="009B4FF6"/>
    <w:rsid w:val="009B6CBE"/>
    <w:rsid w:val="009B7F91"/>
    <w:rsid w:val="00A012C2"/>
    <w:rsid w:val="00A04BEE"/>
    <w:rsid w:val="00A27C5C"/>
    <w:rsid w:val="00A44E1F"/>
    <w:rsid w:val="00A45C83"/>
    <w:rsid w:val="00A745A2"/>
    <w:rsid w:val="00A768C4"/>
    <w:rsid w:val="00A90231"/>
    <w:rsid w:val="00A96A14"/>
    <w:rsid w:val="00AB77B2"/>
    <w:rsid w:val="00AC2085"/>
    <w:rsid w:val="00AC6A02"/>
    <w:rsid w:val="00AF14E1"/>
    <w:rsid w:val="00B74035"/>
    <w:rsid w:val="00B754F0"/>
    <w:rsid w:val="00B8200E"/>
    <w:rsid w:val="00BA0007"/>
    <w:rsid w:val="00BA632E"/>
    <w:rsid w:val="00BC1045"/>
    <w:rsid w:val="00BC65AD"/>
    <w:rsid w:val="00BE2FFF"/>
    <w:rsid w:val="00BE7670"/>
    <w:rsid w:val="00BF728F"/>
    <w:rsid w:val="00C27789"/>
    <w:rsid w:val="00C51595"/>
    <w:rsid w:val="00C60DDD"/>
    <w:rsid w:val="00C762CD"/>
    <w:rsid w:val="00C83217"/>
    <w:rsid w:val="00C848EA"/>
    <w:rsid w:val="00C9007A"/>
    <w:rsid w:val="00C974D8"/>
    <w:rsid w:val="00CA5A77"/>
    <w:rsid w:val="00CA5AF7"/>
    <w:rsid w:val="00CA6BA7"/>
    <w:rsid w:val="00CB2D94"/>
    <w:rsid w:val="00CB4E0D"/>
    <w:rsid w:val="00CC5A4A"/>
    <w:rsid w:val="00CC6D16"/>
    <w:rsid w:val="00CF0FE3"/>
    <w:rsid w:val="00CF5DED"/>
    <w:rsid w:val="00D07E55"/>
    <w:rsid w:val="00D268FB"/>
    <w:rsid w:val="00D435DA"/>
    <w:rsid w:val="00D55A55"/>
    <w:rsid w:val="00D5774E"/>
    <w:rsid w:val="00D660E2"/>
    <w:rsid w:val="00D73886"/>
    <w:rsid w:val="00D91882"/>
    <w:rsid w:val="00D93D6B"/>
    <w:rsid w:val="00D9477B"/>
    <w:rsid w:val="00DB5ECD"/>
    <w:rsid w:val="00DB6B3F"/>
    <w:rsid w:val="00DD6955"/>
    <w:rsid w:val="00E00B1F"/>
    <w:rsid w:val="00E02C22"/>
    <w:rsid w:val="00E05015"/>
    <w:rsid w:val="00E12C9F"/>
    <w:rsid w:val="00E21232"/>
    <w:rsid w:val="00E2523D"/>
    <w:rsid w:val="00E30346"/>
    <w:rsid w:val="00E37CD4"/>
    <w:rsid w:val="00E37D11"/>
    <w:rsid w:val="00E53211"/>
    <w:rsid w:val="00E74548"/>
    <w:rsid w:val="00EB1086"/>
    <w:rsid w:val="00EC0D06"/>
    <w:rsid w:val="00EF0EB2"/>
    <w:rsid w:val="00EF359B"/>
    <w:rsid w:val="00F21C5F"/>
    <w:rsid w:val="00F31B24"/>
    <w:rsid w:val="00F34153"/>
    <w:rsid w:val="00F35355"/>
    <w:rsid w:val="00F60DD5"/>
    <w:rsid w:val="00F7165B"/>
    <w:rsid w:val="00F9712A"/>
    <w:rsid w:val="00FA0AF6"/>
    <w:rsid w:val="00FB0C00"/>
    <w:rsid w:val="00FB50D6"/>
    <w:rsid w:val="00FF01CE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F59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6CBE"/>
    <w:pPr>
      <w:spacing w:after="12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2B7A52"/>
    <w:pPr>
      <w:keepNext/>
      <w:keepLines/>
      <w:spacing w:before="120"/>
      <w:outlineLvl w:val="0"/>
    </w:pPr>
    <w:rPr>
      <w:rFonts w:eastAsiaTheme="majorEastAsia" w:cstheme="majorBidi"/>
      <w:b/>
      <w:bCs/>
      <w:color w:val="4A442A" w:themeColor="background2" w:themeShade="4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9B6CBE"/>
    <w:pPr>
      <w:keepNext/>
      <w:keepLines/>
      <w:spacing w:before="360" w:after="240"/>
      <w:outlineLvl w:val="1"/>
    </w:pPr>
    <w:rPr>
      <w:rFonts w:eastAsiaTheme="majorEastAsia" w:cstheme="majorBidi"/>
      <w:b/>
      <w:bCs/>
      <w:color w:val="4A442A" w:themeColor="background2" w:themeShade="4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B4ED4"/>
    <w:pPr>
      <w:keepNext/>
      <w:keepLines/>
      <w:spacing w:before="240"/>
      <w:outlineLvl w:val="2"/>
    </w:pPr>
    <w:rPr>
      <w:rFonts w:eastAsiaTheme="majorEastAsia" w:cstheme="majorBidi"/>
      <w:b/>
      <w:bCs/>
      <w:i/>
      <w:color w:val="4A442A" w:themeColor="background2" w:themeShade="40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7A52"/>
    <w:rPr>
      <w:rFonts w:ascii="Arial" w:eastAsiaTheme="majorEastAsia" w:hAnsi="Arial" w:cstheme="majorBidi"/>
      <w:b/>
      <w:bCs/>
      <w:color w:val="4A442A" w:themeColor="background2" w:themeShade="4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6CBE"/>
    <w:rPr>
      <w:rFonts w:ascii="Arial" w:eastAsiaTheme="majorEastAsia" w:hAnsi="Arial" w:cstheme="majorBidi"/>
      <w:b/>
      <w:bCs/>
      <w:color w:val="4A442A" w:themeColor="background2" w:themeShade="4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B4ED4"/>
    <w:rPr>
      <w:rFonts w:ascii="Arial" w:eastAsiaTheme="majorEastAsia" w:hAnsi="Arial" w:cstheme="majorBidi"/>
      <w:b/>
      <w:bCs/>
      <w:i/>
      <w:color w:val="4A442A" w:themeColor="background2" w:themeShade="40"/>
      <w:sz w:val="24"/>
    </w:rPr>
  </w:style>
  <w:style w:type="table" w:styleId="Tabellenraster">
    <w:name w:val="Table Grid"/>
    <w:basedOn w:val="NormaleTabelle"/>
    <w:uiPriority w:val="59"/>
    <w:rsid w:val="00A96A14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aliases w:val="Managementblatt Zchn"/>
    <w:basedOn w:val="Absatz-Standardschriftart"/>
    <w:link w:val="Untertitel"/>
    <w:uiPriority w:val="11"/>
    <w:locked/>
    <w:rsid w:val="00E37D11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Untertitel">
    <w:name w:val="Subtitle"/>
    <w:aliases w:val="Managementblatt"/>
    <w:basedOn w:val="Standard"/>
    <w:next w:val="Standard"/>
    <w:link w:val="UntertitelZchn"/>
    <w:autoRedefine/>
    <w:uiPriority w:val="11"/>
    <w:qFormat/>
    <w:rsid w:val="00E37D11"/>
    <w:pPr>
      <w:tabs>
        <w:tab w:val="left" w:pos="14175"/>
      </w:tabs>
      <w:spacing w:before="240" w:after="240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1">
    <w:name w:val="Untertitel Zchn1"/>
    <w:basedOn w:val="Absatz-Standardschriftart"/>
    <w:uiPriority w:val="11"/>
    <w:rsid w:val="00A96A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A96A14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de-DE"/>
    </w:rPr>
  </w:style>
  <w:style w:type="table" w:styleId="HellesRaster-Akzent2">
    <w:name w:val="Light Grid Accent 2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A96A1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A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159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51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1595"/>
    <w:rPr>
      <w:rFonts w:ascii="Arial" w:hAnsi="Aria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56D5B"/>
    <w:pPr>
      <w:spacing w:after="0" w:line="276" w:lineRule="auto"/>
      <w:outlineLvl w:val="9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56D5B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356D5B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356D5B"/>
    <w:rPr>
      <w:color w:val="0000FF" w:themeColor="hyperlink"/>
      <w:u w:val="single"/>
    </w:rPr>
  </w:style>
  <w:style w:type="table" w:styleId="MittleresRaster1-Akzent5">
    <w:name w:val="Medium Grid 1 Accent 5"/>
    <w:basedOn w:val="NormaleTabelle"/>
    <w:uiPriority w:val="67"/>
    <w:rsid w:val="004A73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HellesRaster-Akzent5">
    <w:name w:val="Light Grid Accent 5"/>
    <w:basedOn w:val="NormaleTabelle"/>
    <w:uiPriority w:val="62"/>
    <w:rsid w:val="00157EA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57F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7F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7F01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7F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7F01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57F01"/>
    <w:pPr>
      <w:spacing w:after="0" w:line="240" w:lineRule="auto"/>
    </w:pPr>
    <w:rPr>
      <w:rFonts w:ascii="Arial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4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info/law/better-regulation/have-your-say/initiatives/13765-Erste-europaische-Standards-fur-die-Nachhaltigkeitsberichterstattung_d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ec.europa.eu/info/law/better-regulation/have-your-say/initiatives/13765-Erste-europaische-Standards-fur-die-Nachhaltigkeitsberichterstattung_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hk-muenchen.de/ihk/documents/Umwelt-und-Energie/leitfaden_anspruchsgruppen.pdf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mweltpakt.bayern.de/download/werkzeuge/nachhaltigkeitsmanagement/servicepaket_arbeitsblatt.xls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065270-1d2a-4baf-8503-f4c74c9b50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CBC5F34E2DF47BB095E461839066C" ma:contentTypeVersion="14" ma:contentTypeDescription="Ein neues Dokument erstellen." ma:contentTypeScope="" ma:versionID="f858330de6b0a8deda397decf61a95d1">
  <xsd:schema xmlns:xsd="http://www.w3.org/2001/XMLSchema" xmlns:xs="http://www.w3.org/2001/XMLSchema" xmlns:p="http://schemas.microsoft.com/office/2006/metadata/properties" xmlns:ns2="e9065270-1d2a-4baf-8503-f4c74c9b50e4" xmlns:ns3="078f6bec-0303-496b-b525-d2ba287a3188" targetNamespace="http://schemas.microsoft.com/office/2006/metadata/properties" ma:root="true" ma:fieldsID="2a687777bf104c41a5f3176a06375db8" ns2:_="" ns3:_="">
    <xsd:import namespace="e9065270-1d2a-4baf-8503-f4c74c9b50e4"/>
    <xsd:import namespace="078f6bec-0303-496b-b525-d2ba287a3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65270-1d2a-4baf-8503-f4c74c9b5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15451bee-5533-49a1-8dd5-f30616748e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f6bec-0303-496b-b525-d2ba287a31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D3C4D-6310-42CB-9622-680F20E90A0B}">
  <ds:schemaRefs>
    <ds:schemaRef ds:uri="http://schemas.microsoft.com/office/2006/metadata/properties"/>
    <ds:schemaRef ds:uri="http://schemas.microsoft.com/office/infopath/2007/PartnerControls"/>
    <ds:schemaRef ds:uri="e9065270-1d2a-4baf-8503-f4c74c9b50e4"/>
  </ds:schemaRefs>
</ds:datastoreItem>
</file>

<file path=customXml/itemProps2.xml><?xml version="1.0" encoding="utf-8"?>
<ds:datastoreItem xmlns:ds="http://schemas.openxmlformats.org/officeDocument/2006/customXml" ds:itemID="{07F50C08-A195-4162-A32E-F9854E2450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046F5-BC04-43B4-A74C-D5ECA1DCB7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069CEE-D616-4CC8-81F5-24E580214797}">
  <ds:schemaRefs>
    <ds:schemaRef ds:uri="http://www.w3.org/2001/XMLSchema"/>
    <ds:schemaRef ds:uri="http://www.zhaw.ch/AccessibilityAddIn"/>
  </ds:schemaRefs>
</ds:datastoreItem>
</file>

<file path=customXml/itemProps5.xml><?xml version="1.0" encoding="utf-8"?>
<ds:datastoreItem xmlns:ds="http://schemas.openxmlformats.org/officeDocument/2006/customXml" ds:itemID="{35AE5456-6711-4629-8D6C-91148AB17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65270-1d2a-4baf-8503-f4c74c9b50e4"/>
    <ds:schemaRef ds:uri="078f6bec-0303-496b-b525-d2ba287a3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831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CSR-Managementblatt-3</vt:lpstr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CSR-Managementblatt-3</dc:title>
  <dc:subject/>
  <dc:creator/>
  <cp:keywords/>
  <cp:lastModifiedBy/>
  <cp:revision>1</cp:revision>
  <dcterms:created xsi:type="dcterms:W3CDTF">2024-07-26T08:15:00Z</dcterms:created>
  <dcterms:modified xsi:type="dcterms:W3CDTF">2024-08-12T13:25:00Z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0x010100F62CBC5F34E2DF47BB095E461839066C</vt:lpwstr>
  </property>
  <property fmtid="{D5CDD505-2E9C-101B-9397-08002B2CF9AE}" pid="3" name="MediaServiceImageTags">
    <vt:lpwstr/>
  </property>
</Properties>
</file>